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5436"/>
        <w:gridCol w:w="4203"/>
      </w:tblGrid>
      <w:tr w:rsidR="00B6206C" w:rsidTr="00B6206C">
        <w:tc>
          <w:tcPr>
            <w:tcW w:w="4962" w:type="dxa"/>
            <w:hideMark/>
          </w:tcPr>
          <w:p w:rsidR="00B6206C" w:rsidRDefault="00B6206C">
            <w:pPr>
              <w:pStyle w:val="a3"/>
              <w:rPr>
                <w:sz w:val="30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3305175" cy="1285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B6206C" w:rsidRDefault="00B6206C">
            <w:pPr>
              <w:widowControl w:val="0"/>
              <w:autoSpaceDE w:val="0"/>
              <w:autoSpaceDN w:val="0"/>
              <w:spacing w:line="360" w:lineRule="auto"/>
              <w:ind w:left="29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6206C" w:rsidRDefault="00B6206C">
            <w:pPr>
              <w:pStyle w:val="a3"/>
              <w:rPr>
                <w:sz w:val="30"/>
              </w:rPr>
            </w:pPr>
          </w:p>
        </w:tc>
      </w:tr>
    </w:tbl>
    <w:p w:rsidR="00B6206C" w:rsidRDefault="00B6206C" w:rsidP="00B6206C"/>
    <w:p w:rsidR="00B6206C" w:rsidRDefault="00B6206C" w:rsidP="00B6206C"/>
    <w:p w:rsidR="00B6206C" w:rsidRDefault="00B6206C" w:rsidP="00B6206C"/>
    <w:p w:rsidR="00B6206C" w:rsidRDefault="00B6206C" w:rsidP="00B6206C"/>
    <w:p w:rsidR="00B6206C" w:rsidRDefault="00B6206C" w:rsidP="00B6206C"/>
    <w:p w:rsidR="00B6206C" w:rsidRDefault="00B6206C" w:rsidP="00B6206C"/>
    <w:p w:rsidR="00B6206C" w:rsidRDefault="00B6206C" w:rsidP="00B6206C"/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26"/>
          <w:sz w:val="36"/>
          <w:szCs w:val="36"/>
          <w:lang w:val="ru-RU"/>
        </w:rPr>
      </w:pPr>
      <w:r>
        <w:rPr>
          <w:rFonts w:ascii="Times New Roman" w:hAnsi="Times New Roman"/>
          <w:b/>
          <w:bCs/>
          <w:spacing w:val="26"/>
          <w:sz w:val="36"/>
          <w:szCs w:val="36"/>
          <w:lang w:val="ru-RU"/>
        </w:rPr>
        <w:t>ПЛАН ЗАСТРОЙКИ</w:t>
      </w: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>
        <w:rPr>
          <w:rFonts w:ascii="Times New Roman" w:hAnsi="Times New Roman"/>
          <w:b/>
          <w:bCs/>
          <w:sz w:val="36"/>
          <w:szCs w:val="36"/>
          <w:lang w:val="ru-RU"/>
        </w:rPr>
        <w:t>по компетенции «Добыча нефти и газа»</w:t>
      </w:r>
    </w:p>
    <w:p w:rsidR="00B6206C" w:rsidRPr="004F0624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4F0624">
        <w:rPr>
          <w:rFonts w:ascii="Times New Roman" w:hAnsi="Times New Roman"/>
          <w:b/>
          <w:bCs/>
          <w:sz w:val="36"/>
          <w:szCs w:val="36"/>
          <w:lang w:val="ru-RU"/>
        </w:rPr>
        <w:t xml:space="preserve">Регионального этапа Чемпионата </w:t>
      </w:r>
    </w:p>
    <w:p w:rsidR="00B6206C" w:rsidRPr="004F0624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4F0624">
        <w:rPr>
          <w:rFonts w:ascii="Times New Roman" w:hAnsi="Times New Roman"/>
          <w:b/>
          <w:bCs/>
          <w:sz w:val="36"/>
          <w:szCs w:val="36"/>
          <w:lang w:val="ru-RU"/>
        </w:rPr>
        <w:t xml:space="preserve">по профессиональному мастерству </w:t>
      </w:r>
    </w:p>
    <w:p w:rsidR="00B6206C" w:rsidRPr="004F0624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4F0624">
        <w:rPr>
          <w:rFonts w:ascii="Times New Roman" w:hAnsi="Times New Roman"/>
          <w:b/>
          <w:bCs/>
          <w:sz w:val="36"/>
          <w:szCs w:val="36"/>
          <w:lang w:val="ru-RU"/>
        </w:rPr>
        <w:t>«ПРОФЕССИОНАЛЫ»</w:t>
      </w:r>
    </w:p>
    <w:p w:rsidR="00B6206C" w:rsidRPr="004F0624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4F0624">
        <w:rPr>
          <w:rFonts w:ascii="Times New Roman" w:hAnsi="Times New Roman"/>
          <w:b/>
          <w:bCs/>
          <w:sz w:val="36"/>
          <w:szCs w:val="36"/>
          <w:lang w:val="ru-RU"/>
        </w:rPr>
        <w:t>в Волгоградской области - 2025</w:t>
      </w: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bookmarkStart w:id="0" w:name="_GoBack"/>
      <w:bookmarkEnd w:id="0"/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36"/>
          <w:szCs w:val="36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6206C" w:rsidRPr="00B6206C" w:rsidRDefault="00B6206C" w:rsidP="00B620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2025 г.</w:t>
      </w: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0A64BD03" wp14:editId="55B3DD0D">
            <wp:simplePos x="0" y="0"/>
            <wp:positionH relativeFrom="column">
              <wp:posOffset>-76200</wp:posOffset>
            </wp:positionH>
            <wp:positionV relativeFrom="paragraph">
              <wp:posOffset>923925</wp:posOffset>
            </wp:positionV>
            <wp:extent cx="6772275" cy="4928870"/>
            <wp:effectExtent l="0" t="0" r="9525" b="5080"/>
            <wp:wrapThrough wrapText="bothSides">
              <wp:wrapPolygon edited="0">
                <wp:start x="0" y="0"/>
                <wp:lineTo x="0" y="21539"/>
                <wp:lineTo x="21570" y="21539"/>
                <wp:lineTo x="21570" y="0"/>
                <wp:lineTo x="0" y="0"/>
              </wp:wrapPolygon>
            </wp:wrapThrough>
            <wp:docPr id="2" name="Рисунок 2" descr="План застройки Добыча нефти и газа (комнаты)_измен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лан застройки Добыча нефти и газа (комнаты)_изменения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2" r="4006" b="3479"/>
                    <a:stretch/>
                  </pic:blipFill>
                  <pic:spPr bwMode="auto">
                    <a:xfrm>
                      <a:off x="0" y="0"/>
                      <a:ext cx="6772275" cy="492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  <w:lang w:val="ru-RU"/>
        </w:rPr>
        <w:t xml:space="preserve">Актуальный план застройки для проведения чемпионата вычерчивается в соответствии с принятыми в компетенции условными обозначениями с применением компьютерных программ и с учетом наименований инфраструктурного листа </w:t>
      </w:r>
    </w:p>
    <w:p w:rsidR="00B6206C" w:rsidRDefault="00B6206C" w:rsidP="00B6206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6206C" w:rsidRDefault="00B6206C" w:rsidP="00B6206C">
      <w:pPr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>
        <w:rPr>
          <w:rFonts w:ascii="Times New Roman" w:eastAsia="Arial Unicode MS" w:hAnsi="Times New Roman"/>
          <w:sz w:val="28"/>
          <w:szCs w:val="28"/>
          <w:lang w:val="ru-RU"/>
        </w:rPr>
        <w:t>План застройки может иметь иную планировку, утвержденную главным экспертом площадки.</w:t>
      </w:r>
    </w:p>
    <w:p w:rsidR="00B6206C" w:rsidRPr="00B6206C" w:rsidRDefault="00B6206C" w:rsidP="00B6206C">
      <w:p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Комната участников, комната экспертов, главного эксперта могут находиться в другом помещении, за пределами конкурсной площадки в шаговой доступности. Зона работы главного эксперта может размещаться как в отдельном помещении, так и в комнате экспертов.</w:t>
      </w:r>
    </w:p>
    <w:sectPr w:rsidR="00B6206C" w:rsidRPr="00B6206C" w:rsidSect="00B620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06C"/>
    <w:rsid w:val="004F0624"/>
    <w:rsid w:val="00B6206C"/>
    <w:rsid w:val="00D35E72"/>
    <w:rsid w:val="00DE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C50EB-81AC-4288-9190-6C6D16889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06C"/>
    <w:pPr>
      <w:spacing w:line="25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B6206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B6206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</dc:creator>
  <cp:keywords/>
  <dc:description/>
  <cp:lastModifiedBy>la</cp:lastModifiedBy>
  <cp:revision>3</cp:revision>
  <dcterms:created xsi:type="dcterms:W3CDTF">2025-01-28T06:25:00Z</dcterms:created>
  <dcterms:modified xsi:type="dcterms:W3CDTF">2025-01-29T11:02:00Z</dcterms:modified>
</cp:coreProperties>
</file>